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12C" w:rsidRDefault="005F012C" w:rsidP="005F012C">
      <w:pPr>
        <w:pStyle w:val="1"/>
        <w:rPr>
          <w:szCs w:val="18"/>
        </w:rPr>
      </w:pPr>
      <w:r>
        <w:t>(134-32-7)α-萘胺的理化及危险特性表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3710"/>
        <w:gridCol w:w="2625"/>
        <w:gridCol w:w="2346"/>
      </w:tblGrid>
      <w:tr w:rsidR="005F012C" w:rsidTr="0090435F">
        <w:trPr>
          <w:cantSplit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12C" w:rsidRDefault="005F012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5F012C" w:rsidRDefault="005F012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2C" w:rsidRDefault="005F012C" w:rsidP="0090435F">
            <w:pPr>
              <w:spacing w:line="318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中文名：α-萘胺；α-氨基萘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2C" w:rsidRDefault="005F012C" w:rsidP="0090435F">
            <w:pPr>
              <w:spacing w:line="318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英文名: α-naphthylamine；α-aminonaphthalene</w:t>
            </w:r>
          </w:p>
        </w:tc>
      </w:tr>
      <w:tr w:rsidR="005F012C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12C" w:rsidRDefault="005F012C" w:rsidP="0090435F">
            <w:pPr>
              <w:spacing w:line="318" w:lineRule="exact"/>
              <w:rPr>
                <w:rFonts w:ascii="宋体" w:hAnsi="宋体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2C" w:rsidRDefault="005F012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分子式：</w:t>
            </w:r>
            <w:r>
              <w:rPr>
                <w:rFonts w:ascii="宋体" w:hAnsi="宋体" w:hint="eastAsia"/>
                <w:szCs w:val="18"/>
              </w:rPr>
              <w:t>C</w:t>
            </w:r>
            <w:r>
              <w:rPr>
                <w:rFonts w:ascii="宋体" w:hAnsi="宋体" w:hint="eastAsia"/>
                <w:szCs w:val="18"/>
                <w:vertAlign w:val="subscript"/>
              </w:rPr>
              <w:t>10</w:t>
            </w:r>
            <w:r>
              <w:rPr>
                <w:rFonts w:ascii="宋体" w:hAnsi="宋体" w:hint="eastAsia"/>
                <w:szCs w:val="18"/>
              </w:rPr>
              <w:t>H</w:t>
            </w:r>
            <w:r>
              <w:rPr>
                <w:rFonts w:ascii="宋体" w:hAnsi="宋体" w:hint="eastAsia"/>
                <w:szCs w:val="18"/>
                <w:vertAlign w:val="subscript"/>
              </w:rPr>
              <w:t>9</w:t>
            </w:r>
            <w:r>
              <w:rPr>
                <w:rFonts w:ascii="宋体" w:hAnsi="宋体" w:hint="eastAsia"/>
                <w:szCs w:val="18"/>
              </w:rPr>
              <w:t>N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2C" w:rsidRDefault="005F012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分子量：143.18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2C" w:rsidRDefault="005F012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UN编号：2077</w:t>
            </w:r>
          </w:p>
        </w:tc>
      </w:tr>
      <w:tr w:rsidR="005F012C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12C" w:rsidRDefault="005F012C" w:rsidP="0090435F">
            <w:pPr>
              <w:spacing w:line="318" w:lineRule="exact"/>
              <w:rPr>
                <w:rFonts w:ascii="宋体" w:hAnsi="宋体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2C" w:rsidRDefault="005F012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</w:t>
            </w:r>
            <w:r>
              <w:rPr>
                <w:rFonts w:ascii="宋体" w:hAnsi="宋体" w:hint="eastAsia"/>
                <w:szCs w:val="18"/>
              </w:rPr>
              <w:t>第6.1类  毒害品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2C" w:rsidRDefault="005F012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 61830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2C" w:rsidRDefault="005F012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CAS号：134-32-7</w:t>
            </w:r>
          </w:p>
        </w:tc>
      </w:tr>
      <w:tr w:rsidR="005F012C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012C" w:rsidRDefault="005F012C" w:rsidP="0090435F">
            <w:pPr>
              <w:spacing w:line="318" w:lineRule="exact"/>
              <w:rPr>
                <w:rFonts w:ascii="宋体" w:hAnsi="宋体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2C" w:rsidRDefault="005F012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包装标志：有毒品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2C" w:rsidRDefault="005F012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包装类别：Ⅲ类</w:t>
            </w:r>
          </w:p>
        </w:tc>
      </w:tr>
      <w:tr w:rsidR="005F012C" w:rsidTr="0090435F">
        <w:trPr>
          <w:cantSplit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2C" w:rsidRDefault="005F012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5F012C" w:rsidRDefault="005F012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5F012C" w:rsidRDefault="005F012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5F012C" w:rsidRDefault="005F012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2C" w:rsidRDefault="005F012C" w:rsidP="0090435F">
            <w:pPr>
              <w:spacing w:line="318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外观与性状：</w:t>
            </w:r>
            <w:r>
              <w:rPr>
                <w:rFonts w:ascii="_x000B__x000C_" w:hAnsi="_x000B__x000C_" w:hint="eastAsia"/>
                <w:szCs w:val="18"/>
              </w:rPr>
              <w:t>纯品为无色结晶或块状，有恶臭，易升华。</w:t>
            </w:r>
          </w:p>
        </w:tc>
      </w:tr>
      <w:tr w:rsidR="005F012C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2C" w:rsidRDefault="005F012C" w:rsidP="0090435F">
            <w:pPr>
              <w:spacing w:line="318" w:lineRule="exact"/>
              <w:rPr>
                <w:rFonts w:ascii="宋体" w:hAnsi="宋体"/>
              </w:rPr>
            </w:pP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2C" w:rsidRDefault="005F012C" w:rsidP="0090435F">
            <w:pPr>
              <w:spacing w:line="318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溶解性 ：</w:t>
            </w:r>
            <w:r>
              <w:rPr>
                <w:rFonts w:ascii="_x000B__x000C_" w:hAnsi="_x000B__x000C_" w:hint="eastAsia"/>
                <w:szCs w:val="18"/>
              </w:rPr>
              <w:t>不溶于水，溶于醇、醚。</w:t>
            </w:r>
          </w:p>
        </w:tc>
      </w:tr>
      <w:tr w:rsidR="005F012C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2C" w:rsidRDefault="005F012C" w:rsidP="0090435F">
            <w:pPr>
              <w:spacing w:line="318" w:lineRule="exact"/>
              <w:rPr>
                <w:rFonts w:ascii="宋体" w:hAnsi="宋体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2C" w:rsidRDefault="005F012C" w:rsidP="0090435F">
            <w:pPr>
              <w:spacing w:line="318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熔点（℃）：50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2C" w:rsidRDefault="005F012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</w:t>
            </w:r>
            <w:r>
              <w:rPr>
                <w:rFonts w:ascii="宋体" w:hAnsi="宋体" w:hint="eastAsia"/>
                <w:szCs w:val="18"/>
              </w:rPr>
              <w:t>300.8</w:t>
            </w:r>
          </w:p>
        </w:tc>
      </w:tr>
      <w:tr w:rsidR="005F012C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2C" w:rsidRDefault="005F012C" w:rsidP="0090435F">
            <w:pPr>
              <w:spacing w:line="318" w:lineRule="exact"/>
              <w:rPr>
                <w:rFonts w:ascii="宋体" w:hAnsi="宋体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2C" w:rsidRDefault="005F012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相对密度（水＝1）：1.13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2C" w:rsidRDefault="005F012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相对密度（空气＝1）：4.93</w:t>
            </w:r>
          </w:p>
        </w:tc>
      </w:tr>
      <w:tr w:rsidR="005F012C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2C" w:rsidRDefault="005F012C" w:rsidP="0090435F">
            <w:pPr>
              <w:spacing w:line="318" w:lineRule="exact"/>
              <w:rPr>
                <w:rFonts w:ascii="宋体" w:hAnsi="宋体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2C" w:rsidRDefault="005F012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</w:t>
            </w:r>
            <w:r>
              <w:rPr>
                <w:rFonts w:ascii="宋体" w:hAnsi="宋体"/>
              </w:rPr>
              <w:t>）</w:t>
            </w:r>
            <w:r>
              <w:rPr>
                <w:rFonts w:ascii="宋体" w:hAnsi="宋体" w:hint="eastAsia"/>
              </w:rPr>
              <w:t>:0.13（104.3℃）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2C" w:rsidRDefault="005F012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燃烧热（kJ/mol）：5281.4</w:t>
            </w:r>
          </w:p>
        </w:tc>
      </w:tr>
      <w:tr w:rsidR="005F012C" w:rsidTr="0090435F">
        <w:trPr>
          <w:cantSplit/>
          <w:trHeight w:val="163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2C" w:rsidRDefault="005F012C" w:rsidP="0090435F">
            <w:pPr>
              <w:spacing w:line="318" w:lineRule="exact"/>
              <w:rPr>
                <w:rFonts w:ascii="宋体" w:hAnsi="宋体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2C" w:rsidRDefault="005F012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2C" w:rsidRDefault="005F012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</w:t>
            </w:r>
          </w:p>
        </w:tc>
      </w:tr>
      <w:tr w:rsidR="005F012C" w:rsidTr="0090435F">
        <w:trPr>
          <w:cantSplit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12C" w:rsidRDefault="005F012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5F012C" w:rsidRDefault="005F012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5F012C" w:rsidRDefault="005F012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5F012C" w:rsidRDefault="005F012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5F012C" w:rsidRDefault="005F012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5F012C" w:rsidRDefault="005F012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5F012C" w:rsidRDefault="005F012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2C" w:rsidRDefault="005F012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燃烧性：可燃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2C" w:rsidRDefault="005F012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闪点（℃）：＞110</w:t>
            </w:r>
          </w:p>
        </w:tc>
      </w:tr>
      <w:tr w:rsidR="005F012C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12C" w:rsidRDefault="005F012C" w:rsidP="0090435F">
            <w:pPr>
              <w:spacing w:line="318" w:lineRule="exact"/>
              <w:rPr>
                <w:rFonts w:ascii="宋体" w:hAnsi="宋体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2C" w:rsidRDefault="005F012C" w:rsidP="0090435F">
            <w:pPr>
              <w:spacing w:line="318" w:lineRule="exact"/>
              <w:rPr>
                <w:rFonts w:ascii="宋体" w:hAnsi="宋体"/>
                <w:vertAlign w:val="superscript"/>
              </w:rPr>
            </w:pPr>
            <w:r>
              <w:rPr>
                <w:rFonts w:ascii="宋体" w:hAnsi="宋体" w:hint="eastAsia"/>
              </w:rPr>
              <w:t>爆炸下限（%）：无资料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2C" w:rsidRDefault="005F012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爆炸上限（%）：无资料</w:t>
            </w:r>
          </w:p>
        </w:tc>
      </w:tr>
      <w:tr w:rsidR="005F012C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12C" w:rsidRDefault="005F012C" w:rsidP="0090435F">
            <w:pPr>
              <w:spacing w:line="318" w:lineRule="exact"/>
              <w:rPr>
                <w:rFonts w:ascii="宋体" w:hAnsi="宋体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2C" w:rsidRDefault="005F012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引燃温度（℃）：无资料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2C" w:rsidRDefault="005F012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最小点火能（mJ）：无资料</w:t>
            </w:r>
          </w:p>
        </w:tc>
      </w:tr>
      <w:tr w:rsidR="005F012C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12C" w:rsidRDefault="005F012C" w:rsidP="0090435F">
            <w:pPr>
              <w:spacing w:line="318" w:lineRule="exact"/>
              <w:rPr>
                <w:rFonts w:ascii="宋体" w:hAnsi="宋体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2C" w:rsidRDefault="005F012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最大爆炸压力（MPa）：无资料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2C" w:rsidRDefault="005F012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稳定性：稳定</w:t>
            </w:r>
          </w:p>
        </w:tc>
      </w:tr>
      <w:tr w:rsidR="005F012C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12C" w:rsidRDefault="005F012C" w:rsidP="0090435F">
            <w:pPr>
              <w:spacing w:line="318" w:lineRule="exact"/>
              <w:rPr>
                <w:rFonts w:ascii="宋体" w:hAnsi="宋体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2C" w:rsidRDefault="005F012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聚合危害：不聚合 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2C" w:rsidRDefault="005F012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燃烧分解产物: </w:t>
            </w:r>
            <w:r>
              <w:rPr>
                <w:rFonts w:ascii="宋体" w:hAnsi="宋体" w:hint="eastAsia"/>
                <w:szCs w:val="18"/>
              </w:rPr>
              <w:t>一氧化碳、二氧化碳、氧化氮。</w:t>
            </w:r>
          </w:p>
        </w:tc>
      </w:tr>
      <w:tr w:rsidR="005F012C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12C" w:rsidRDefault="005F012C" w:rsidP="0090435F">
            <w:pPr>
              <w:spacing w:line="318" w:lineRule="exact"/>
              <w:rPr>
                <w:rFonts w:ascii="宋体" w:hAnsi="宋体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2C" w:rsidRDefault="005F012C" w:rsidP="0090435F">
            <w:pPr>
              <w:spacing w:line="318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避免接触的条件：光照。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2C" w:rsidRDefault="005F012C" w:rsidP="0090435F">
            <w:pPr>
              <w:spacing w:line="318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禁忌物：</w:t>
            </w:r>
            <w:r>
              <w:rPr>
                <w:rFonts w:ascii="_x000B__x000C_" w:hAnsi="_x000B__x000C_" w:hint="eastAsia"/>
                <w:szCs w:val="18"/>
              </w:rPr>
              <w:t>强氧化剂、酸类、酸酐。</w:t>
            </w:r>
          </w:p>
        </w:tc>
      </w:tr>
      <w:tr w:rsidR="005F012C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2C" w:rsidRDefault="005F012C" w:rsidP="0090435F">
            <w:pPr>
              <w:spacing w:line="318" w:lineRule="exact"/>
              <w:rPr>
                <w:rFonts w:ascii="宋体" w:hAnsi="宋体"/>
              </w:rPr>
            </w:pP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2C" w:rsidRDefault="005F012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危险特性: 可燃。受高热分解放出有毒的气体。与氧化剂可发生反应。</w:t>
            </w:r>
          </w:p>
        </w:tc>
      </w:tr>
      <w:tr w:rsidR="005F012C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2C" w:rsidRDefault="005F012C" w:rsidP="0090435F">
            <w:pPr>
              <w:spacing w:line="318" w:lineRule="exact"/>
              <w:rPr>
                <w:rFonts w:ascii="宋体" w:hAnsi="宋体"/>
              </w:rPr>
            </w:pP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2C" w:rsidRDefault="005F012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灭火方法：采用雾状水、泡沫、二氧化碳、砂土灭火。</w:t>
            </w:r>
          </w:p>
        </w:tc>
      </w:tr>
      <w:tr w:rsidR="005F012C" w:rsidTr="0090435F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2C" w:rsidRDefault="005F012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5F012C" w:rsidRDefault="005F012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2C" w:rsidRDefault="005F012C" w:rsidP="0090435F">
            <w:pPr>
              <w:spacing w:line="318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宋体" w:hAnsi="宋体" w:hint="eastAsia"/>
                <w:szCs w:val="18"/>
              </w:rPr>
              <w:t xml:space="preserve">779mg/kg(大鼠经口) </w:t>
            </w:r>
          </w:p>
          <w:p w:rsidR="005F012C" w:rsidRDefault="005F012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</w:p>
        </w:tc>
      </w:tr>
      <w:tr w:rsidR="005F012C" w:rsidTr="0090435F">
        <w:trPr>
          <w:cantSplit/>
          <w:trHeight w:val="240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12C" w:rsidRDefault="005F012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2C" w:rsidRDefault="005F012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侵入途经：吸入、食入、经皮吸收。</w:t>
            </w:r>
          </w:p>
        </w:tc>
      </w:tr>
      <w:tr w:rsidR="005F012C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2C" w:rsidRDefault="005F012C" w:rsidP="0090435F">
            <w:pPr>
              <w:spacing w:line="318" w:lineRule="exact"/>
              <w:rPr>
                <w:rFonts w:ascii="宋体" w:hAnsi="宋体"/>
              </w:rPr>
            </w:pP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2C" w:rsidRDefault="005F012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本品有轻微的高铁血红蛋白形成作用，吸入后有可能引起紫绀。对眼有刺激性。对皮肤有弱刺激作用。本品的致癌作用尚无定论，但如长期接触含有已知致癌剂β- 萘胺的本品，有可能引起膀胱癌。</w:t>
            </w:r>
          </w:p>
        </w:tc>
      </w:tr>
      <w:tr w:rsidR="005F012C" w:rsidTr="0090435F">
        <w:trPr>
          <w:cantSplit/>
          <w:jc w:val="center"/>
        </w:trPr>
        <w:tc>
          <w:tcPr>
            <w:tcW w:w="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2C" w:rsidRDefault="005F012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5F012C" w:rsidRDefault="005F012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2C" w:rsidRDefault="005F012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皮肤接触：脱去污染的衣着，用肥皂水和清水彻底冲洗皮肤。就医。  ※眼睛接触：提起眼睑，用流动清水或生理盐水冲洗。就医。   ※吸入: 迅速脱离现场至空气新鲜处。保持呼吸道通畅。如呼吸困难，给输氧。如呼吸停止，立即进行人工呼吸。就医。   ※食入: 饮足量温水，催吐。就医。</w:t>
            </w:r>
          </w:p>
        </w:tc>
      </w:tr>
      <w:tr w:rsidR="005F012C" w:rsidTr="0090435F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2C" w:rsidRDefault="005F012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5F012C" w:rsidRDefault="005F012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2C" w:rsidRDefault="005F012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工程控制：密闭操作，局部排风。提供安全淋浴和洗眼设备。    ※呼吸系统防护：高浓度蒸气接触可应该佩戴过滤式防毒面具（半面罩）；可能接触其粉尘时，建议佩戴自吸过滤式防尘口罩。   ※</w:t>
            </w:r>
            <w:r>
              <w:rPr>
                <w:rFonts w:ascii="宋体" w:hAnsi="宋体"/>
              </w:rPr>
              <w:t>眼睛防护</w:t>
            </w:r>
            <w:r>
              <w:rPr>
                <w:rFonts w:ascii="宋体" w:hAnsi="宋体" w:hint="eastAsia"/>
              </w:rPr>
              <w:t>：戴安全防护眼镜。   ※</w:t>
            </w:r>
            <w:r>
              <w:rPr>
                <w:rFonts w:ascii="宋体" w:hAnsi="宋体"/>
              </w:rPr>
              <w:t>身体防护</w:t>
            </w:r>
            <w:r>
              <w:rPr>
                <w:rFonts w:ascii="宋体" w:hAnsi="宋体" w:hint="eastAsia"/>
              </w:rPr>
              <w:t>：穿防毒物渗透工作服。   ※</w:t>
            </w:r>
            <w:r>
              <w:rPr>
                <w:rFonts w:ascii="宋体" w:hAnsi="宋体"/>
              </w:rPr>
              <w:t>手防护</w:t>
            </w:r>
            <w:r>
              <w:rPr>
                <w:rFonts w:ascii="宋体" w:hAnsi="宋体" w:hint="eastAsia"/>
              </w:rPr>
              <w:t>：戴橡胶手套。   ※其它：工作现场禁止吸烟、进食和饮水。工作完毕，彻底清洗。单独存放被毒物污染的衣服，洗后备用。注意个人清洁卫生。</w:t>
            </w:r>
          </w:p>
        </w:tc>
      </w:tr>
      <w:tr w:rsidR="005F012C" w:rsidTr="0090435F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2C" w:rsidRDefault="005F012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5F012C" w:rsidRDefault="005F012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5F012C" w:rsidRDefault="005F012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5F012C" w:rsidRDefault="005F012C" w:rsidP="0090435F">
            <w:pPr>
              <w:spacing w:line="318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理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2C" w:rsidRDefault="005F012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隔离泄漏污染区，限制出入。切断火源。建议应急处理人员戴防尘面具（全面罩），穿防毒服。小量泄漏：避免扬尘，用洁净的铲子收集于干燥、洁净、有盖的容器中。大量泄漏：用塑料布、帆布覆盖。然后收集回收或运至废物处理场所处置。</w:t>
            </w:r>
          </w:p>
        </w:tc>
      </w:tr>
      <w:tr w:rsidR="005F012C" w:rsidTr="0090435F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12C" w:rsidRDefault="005F012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5F012C" w:rsidRDefault="005F012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12C" w:rsidRDefault="005F012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储存于阴凉、通风的库房。远离火种、热源。包装密封。应与氧化剂、酸类、食用化学品分开存放，切忌混储。配备相应品种和数量的消防器材。储区应备有合适的材料收容泄漏物。</w:t>
            </w:r>
          </w:p>
          <w:p w:rsidR="005F012C" w:rsidRDefault="005F012C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铁路运输时应严格按照铁道部《危险货物运输规则》中的危险货物配装表进行配装。运输前应先检查包装容器是否完整、密封，运输过程中要确保容器不泄漏、不倒塌、不坠落、不损坏。严禁与酸类、氧化剂、食品及食品添加剂混运。运输途中应防曝晒、雨淋，防高温。  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_x000B__x000C_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12C"/>
    <w:rsid w:val="005F012C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405951-C433-438D-8F27-0AEA8D853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5F012C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5F012C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Company>zyhq</Company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2021-06-02T07:10:00Z</dcterms:created>
  <dcterms:modified xsi:type="dcterms:W3CDTF">2021-06-02T07:10:00Z</dcterms:modified>
</cp:coreProperties>
</file>